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7736CF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9A47C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9A47C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333D10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333D10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9A47C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7736CF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333D10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333D10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9A47C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کارگاه های</w:t>
      </w:r>
      <w:r w:rsidR="00C77CCF">
        <w:rPr>
          <w:rFonts w:cs="B Titr" w:hint="cs"/>
          <w:b/>
          <w:bCs/>
          <w:sz w:val="28"/>
          <w:szCs w:val="28"/>
          <w:rtl/>
          <w:lang w:bidi="fa-IR"/>
        </w:rPr>
        <w:t xml:space="preserve"> مدیریت</w:t>
      </w:r>
      <w:r w:rsidRPr="00103FE3">
        <w:rPr>
          <w:rFonts w:cs="B Titr" w:hint="cs"/>
          <w:b/>
          <w:bCs/>
          <w:sz w:val="28"/>
          <w:szCs w:val="28"/>
          <w:rtl/>
          <w:lang w:bidi="fa-IR"/>
        </w:rPr>
        <w:t xml:space="preserve"> منابع آب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480"/>
        <w:gridCol w:w="1860"/>
        <w:gridCol w:w="1965"/>
        <w:gridCol w:w="4230"/>
      </w:tblGrid>
      <w:tr w:rsidR="00127499" w:rsidRPr="00127499" w:rsidTr="00127499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274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127499" w:rsidRPr="00127499" w:rsidTr="00127499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KMAB01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منطقه ای استان البرز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دکتر محمد بی جن خان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کنترل برداشت آب از چاه‌ها مطابق با قیود مندرج در پروانه بهره برداری</w:t>
            </w:r>
          </w:p>
        </w:tc>
      </w:tr>
      <w:tr w:rsidR="00127499" w:rsidRPr="00127499" w:rsidTr="00127499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KMAB02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صادق کابلی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رویکرد نحوه پهنه بندی سیلاب و شناسایی نقاط آسیب پذیر ناشی از شکست سد</w:t>
            </w:r>
          </w:p>
        </w:tc>
      </w:tr>
      <w:tr w:rsidR="00127499" w:rsidRPr="00127499" w:rsidTr="00127499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KMAB03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سجاد صفری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رویکرد نحوه انتخاب شبکه بهینه پایش کمّی آب های زیرزمینی</w:t>
            </w:r>
          </w:p>
        </w:tc>
      </w:tr>
      <w:tr w:rsidR="00127499" w:rsidRPr="00127499" w:rsidTr="00127499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99" w:rsidRPr="00127499" w:rsidRDefault="00127499" w:rsidP="001274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KMAB04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حامدرضا حاج قاسم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99" w:rsidRPr="00127499" w:rsidRDefault="00127499" w:rsidP="001274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127499">
              <w:rPr>
                <w:rFonts w:ascii="Calibri" w:eastAsia="Times New Roman" w:hAnsi="Calibri" w:cs="B Nazanin" w:hint="cs"/>
                <w:color w:val="212121"/>
                <w:rtl/>
              </w:rPr>
              <w:t>استفاده از الگوریتم های محاسبات نرم در هوشمندسازی مدیریت منابع آب کشور</w:t>
            </w:r>
          </w:p>
        </w:tc>
      </w:tr>
    </w:tbl>
    <w:p w:rsidR="00103FE3" w:rsidRDefault="00103F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103FE3" w:rsidRDefault="00103FE3">
      <w:pPr>
        <w:rPr>
          <w:rFonts w:cs="B Nazanin"/>
          <w:b/>
          <w:bCs/>
          <w:rtl/>
          <w:lang w:bidi="fa-IR"/>
        </w:rPr>
      </w:pPr>
    </w:p>
    <w:sectPr w:rsidR="0010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138B4"/>
    <w:rsid w:val="00333D10"/>
    <w:rsid w:val="003378D1"/>
    <w:rsid w:val="0035164D"/>
    <w:rsid w:val="0036129C"/>
    <w:rsid w:val="003838E4"/>
    <w:rsid w:val="003A764B"/>
    <w:rsid w:val="003D6943"/>
    <w:rsid w:val="00421DEE"/>
    <w:rsid w:val="00427488"/>
    <w:rsid w:val="004D4216"/>
    <w:rsid w:val="004E30C5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736CF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A47C0"/>
    <w:rsid w:val="009B2998"/>
    <w:rsid w:val="009C6FDC"/>
    <w:rsid w:val="00A57D9B"/>
    <w:rsid w:val="00A62EC9"/>
    <w:rsid w:val="00A90D21"/>
    <w:rsid w:val="00B038EE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7875-F3B4-4E17-8EA2-ABE1B5F7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nriahi</dc:creator>
  <cp:lastModifiedBy>Mohsen Zahir</cp:lastModifiedBy>
  <cp:revision>7</cp:revision>
  <cp:lastPrinted>2022-12-11T06:46:00Z</cp:lastPrinted>
  <dcterms:created xsi:type="dcterms:W3CDTF">2022-12-13T06:08:00Z</dcterms:created>
  <dcterms:modified xsi:type="dcterms:W3CDTF">2022-12-20T10:51:00Z</dcterms:modified>
</cp:coreProperties>
</file>